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BC5" w:rsidRDefault="00A84BC5" w:rsidP="00A84BC5">
      <w:pPr>
        <w:spacing w:after="0" w:line="480" w:lineRule="auto"/>
        <w:jc w:val="center"/>
      </w:pPr>
    </w:p>
    <w:p w:rsidR="00A84BC5" w:rsidRDefault="00A84BC5" w:rsidP="00A84BC5">
      <w:pPr>
        <w:spacing w:after="0" w:line="480" w:lineRule="auto"/>
        <w:jc w:val="center"/>
      </w:pPr>
    </w:p>
    <w:p w:rsidR="00A84BC5" w:rsidRDefault="00A84BC5" w:rsidP="00A84BC5">
      <w:pPr>
        <w:spacing w:after="0" w:line="480" w:lineRule="auto"/>
        <w:jc w:val="center"/>
      </w:pPr>
    </w:p>
    <w:p w:rsidR="00A84BC5" w:rsidRDefault="00A84BC5" w:rsidP="00A84BC5">
      <w:pPr>
        <w:spacing w:after="0" w:line="480" w:lineRule="auto"/>
        <w:jc w:val="center"/>
      </w:pPr>
    </w:p>
    <w:p w:rsidR="00A84BC5" w:rsidRDefault="00A84BC5" w:rsidP="00A84BC5">
      <w:pPr>
        <w:spacing w:after="0" w:line="480" w:lineRule="auto"/>
        <w:jc w:val="center"/>
      </w:pPr>
    </w:p>
    <w:p w:rsidR="00A84BC5" w:rsidRDefault="00A84BC5" w:rsidP="00A84BC5">
      <w:pPr>
        <w:spacing w:after="0" w:line="480" w:lineRule="auto"/>
        <w:jc w:val="center"/>
      </w:pPr>
    </w:p>
    <w:p w:rsidR="00A84BC5" w:rsidRDefault="00A84BC5" w:rsidP="00A84BC5">
      <w:pPr>
        <w:spacing w:after="0" w:line="480" w:lineRule="auto"/>
        <w:jc w:val="center"/>
      </w:pPr>
    </w:p>
    <w:p w:rsidR="00A84BC5" w:rsidRDefault="00E0269D" w:rsidP="00A84BC5">
      <w:pPr>
        <w:spacing w:after="0" w:line="480" w:lineRule="auto"/>
        <w:jc w:val="center"/>
      </w:pPr>
      <w:r w:rsidRPr="00A84BC5">
        <w:t>Fatality One Month Prior to the OSHA Inspection</w:t>
      </w:r>
    </w:p>
    <w:p w:rsidR="00A84BC5" w:rsidRDefault="00E0269D" w:rsidP="00A84BC5">
      <w:pPr>
        <w:spacing w:after="0" w:line="480" w:lineRule="auto"/>
        <w:jc w:val="center"/>
      </w:pPr>
      <w:r>
        <w:t>Student Name</w:t>
      </w:r>
    </w:p>
    <w:p w:rsidR="00A84BC5" w:rsidRPr="00A84BC5" w:rsidRDefault="00E0269D" w:rsidP="00A84BC5">
      <w:pPr>
        <w:spacing w:after="0" w:line="480" w:lineRule="auto"/>
        <w:jc w:val="center"/>
      </w:pPr>
      <w:r>
        <w:t>Institution Affiliation</w:t>
      </w:r>
    </w:p>
    <w:p w:rsidR="00A84BC5" w:rsidRDefault="00E0269D" w:rsidP="00A84BC5">
      <w:pPr>
        <w:spacing w:after="0" w:line="480" w:lineRule="auto"/>
        <w:jc w:val="left"/>
      </w:pPr>
      <w:r>
        <w:br w:type="page"/>
      </w:r>
    </w:p>
    <w:p w:rsidR="00B63362" w:rsidRDefault="00E0269D" w:rsidP="00A84BC5">
      <w:pPr>
        <w:spacing w:after="0" w:line="480" w:lineRule="auto"/>
        <w:jc w:val="center"/>
      </w:pPr>
      <w:r w:rsidRPr="0083311B">
        <w:lastRenderedPageBreak/>
        <w:t>Fatality One Month Prior to the OSHA Inspection</w:t>
      </w:r>
    </w:p>
    <w:p w:rsidR="0083311B" w:rsidRDefault="00E0269D" w:rsidP="00A84BC5">
      <w:pPr>
        <w:spacing w:after="0" w:line="480" w:lineRule="auto"/>
        <w:ind w:firstLine="720"/>
      </w:pPr>
      <w:r>
        <w:t xml:space="preserve">One month before the OSHA inspection, a fatality occurred in our facility. The situation was somehow severely </w:t>
      </w:r>
      <w:r>
        <w:t>providing a possibility of the case ben handed over to the Department of Justice. Some citations could be relevant to the case that is handed over to the Department of Justice and could be outlined before the case proceedings start. A list of individuals w</w:t>
      </w:r>
      <w:r>
        <w:t>ho will be majorly impacted and charged in the case will also be prepared before the start of the case</w:t>
      </w:r>
      <w:r w:rsidR="00A84BC5">
        <w:t xml:space="preserve"> (Lewis, 2016)</w:t>
      </w:r>
      <w:r>
        <w:t xml:space="preserve">. </w:t>
      </w:r>
    </w:p>
    <w:p w:rsidR="0083311B" w:rsidRDefault="00E0269D" w:rsidP="00A84BC5">
      <w:pPr>
        <w:spacing w:after="0" w:line="480" w:lineRule="auto"/>
        <w:ind w:firstLine="720"/>
      </w:pPr>
      <w:r>
        <w:t>Our facility was mentioned by the area director for multiple infractions which are strongly believe to lead criminal prosecution from the</w:t>
      </w:r>
      <w:r>
        <w:t xml:space="preserve"> Department of Justice Regional Director.  </w:t>
      </w:r>
      <w:r w:rsidR="0081519B">
        <w:t>The department of justice will then have to make the precise decision of whether to prosecute or not to base the decision on the OSHA's inspector evidence provided. Some of the citations that could be precisely referred to the department of justice for criminal proceedings include; Citation 1 Item 1 employee exposure to lead fumes, Citation 1 Item 10 that is employees exposed to electric hazards, Citation1 Item 1 that is no air sampling, and Citation2 Item 2a-2b that is lack of having training programs on welding with metals containing lead and lead exposure.</w:t>
      </w:r>
    </w:p>
    <w:p w:rsidR="0081519B" w:rsidRDefault="00E0269D" w:rsidP="00A84BC5">
      <w:pPr>
        <w:spacing w:after="0" w:line="480" w:lineRule="auto"/>
        <w:ind w:firstLine="720"/>
      </w:pPr>
      <w:r>
        <w:t xml:space="preserve">For the outlined Citation to be able to </w:t>
      </w:r>
      <w:r w:rsidR="002A6874">
        <w:t>categorize</w:t>
      </w:r>
      <w:r>
        <w:t xml:space="preserve"> as a criminal </w:t>
      </w:r>
      <w:r w:rsidR="002A6874">
        <w:t>charge</w:t>
      </w:r>
      <w:r>
        <w:t xml:space="preserve"> and be </w:t>
      </w:r>
      <w:r w:rsidR="002A6874">
        <w:t>taken</w:t>
      </w:r>
      <w:r>
        <w:t xml:space="preserve"> to the department of justice for proceedings, they must meet three conditi</w:t>
      </w:r>
      <w:r>
        <w:t>ons. First,</w:t>
      </w:r>
      <w:r w:rsidR="002A6874">
        <w:t xml:space="preserve"> all</w:t>
      </w:r>
      <w:r>
        <w:t xml:space="preserve"> the evidence that is at hand a</w:t>
      </w:r>
      <w:r w:rsidR="002A6874">
        <w:t>nd supports the violations was a direct cause, and the violations lead to serious employee injury. Secondly, the fatality that occurred at our facility has to have been a willful act of the facility. Lastly, the citations need not include the General Duty Clause 5(a</w:t>
      </w:r>
      <w:r w:rsidR="00197E5E">
        <w:t>) (</w:t>
      </w:r>
      <w:r w:rsidR="002A6874">
        <w:t>1)</w:t>
      </w:r>
      <w:r w:rsidR="00311952">
        <w:t>.</w:t>
      </w:r>
    </w:p>
    <w:p w:rsidR="00311952" w:rsidRDefault="00E0269D" w:rsidP="00A84BC5">
      <w:pPr>
        <w:spacing w:after="0" w:line="480" w:lineRule="auto"/>
        <w:ind w:firstLine="720"/>
      </w:pPr>
      <w:r>
        <w:t xml:space="preserve">The owner of our facility and the supervisor to the seriously injured employees could be the person who would face criminal charges. The two personnel may be imprisoned for six months or fined </w:t>
      </w:r>
      <w:r>
        <w:t xml:space="preserve">an amount not more than $10,000. Similar fines can be put on employees who provided </w:t>
      </w:r>
      <w:r>
        <w:lastRenderedPageBreak/>
        <w:t>false information when interviewed during the process of collecting evidence. Employees could be tempted to provide false information with thinking that they could positive</w:t>
      </w:r>
      <w:r>
        <w:t xml:space="preserve">ly benefit from the case. </w:t>
      </w:r>
      <w:r w:rsidR="00197E5E">
        <w:t>The company, on the other hand, may be fined not more than $70,000 due to willful violations</w:t>
      </w:r>
      <w:r w:rsidR="005A7CD8">
        <w:t xml:space="preserve"> (Cowan et al., </w:t>
      </w:r>
      <w:bookmarkStart w:id="0" w:name="_GoBack"/>
      <w:bookmarkEnd w:id="0"/>
      <w:r w:rsidR="00A84BC5">
        <w:t>2015)</w:t>
      </w:r>
      <w:r w:rsidR="00197E5E">
        <w:t xml:space="preserve">. </w:t>
      </w:r>
    </w:p>
    <w:p w:rsidR="00A859E2" w:rsidRDefault="00E0269D" w:rsidP="00A84BC5">
      <w:pPr>
        <w:spacing w:after="0" w:line="480" w:lineRule="auto"/>
        <w:ind w:firstLine="720"/>
      </w:pPr>
      <w:r>
        <w:t>My best defense, if I was facing a criminal charge under the act, could be docum</w:t>
      </w:r>
      <w:r>
        <w:t xml:space="preserve">entation. I would use documentation to prove that employee was provided with enough training so that I could be able to avoid specific citations and also avoid fines accumulation during investigations and inspections. </w:t>
      </w:r>
      <w:r w:rsidR="00F40C93">
        <w:t xml:space="preserve">Additionally, our company may hire a lawyer who is specialized in OSHA law to help defend the facility whenever the company believes that the </w:t>
      </w:r>
      <w:r w:rsidR="00D00AAA">
        <w:t>said accusations are aga</w:t>
      </w:r>
      <w:r w:rsidR="00F40C93">
        <w:t>inst the facility actions</w:t>
      </w:r>
      <w:r w:rsidR="00A84BC5">
        <w:t xml:space="preserve"> </w:t>
      </w:r>
      <w:r w:rsidR="00A84BC5" w:rsidRPr="00A84BC5">
        <w:t>(Lewis, 2016)</w:t>
      </w:r>
      <w:r w:rsidR="00F40C93">
        <w:t xml:space="preserve">. </w:t>
      </w:r>
      <w:r w:rsidR="00D00AAA">
        <w:t xml:space="preserve">Many companies when held with such accusations usually play with the law by ensuring that they hire a lawyer who is much aware of the OSHA law despite how expensive the lawyer could be since the company is sure that once the case determines that the accusations were false and there were no willful acts, only a small fine of not more than $7,000 could be imposed on the company. There are just a </w:t>
      </w:r>
      <w:r w:rsidR="00A84BC5">
        <w:t>fe</w:t>
      </w:r>
      <w:r w:rsidR="00D00AAA">
        <w:t xml:space="preserve">w fatality cases that have been </w:t>
      </w:r>
      <w:r w:rsidR="00A84BC5">
        <w:t>prosecuted</w:t>
      </w:r>
      <w:r w:rsidR="00D00AAA">
        <w:t xml:space="preserve"> since the </w:t>
      </w:r>
      <w:r w:rsidR="00A84BC5">
        <w:t>Occupational</w:t>
      </w:r>
      <w:r w:rsidR="00D00AAA">
        <w:t xml:space="preserve"> Safety and Health Act became law. </w:t>
      </w:r>
      <w:r w:rsidR="00A84BC5">
        <w:t>Most of the companies that were prosecuted ever used lawyers who understand the OSHA Law.</w:t>
      </w:r>
    </w:p>
    <w:p w:rsidR="00A84BC5" w:rsidRDefault="00E0269D" w:rsidP="00A84BC5">
      <w:pPr>
        <w:spacing w:after="0" w:line="480" w:lineRule="auto"/>
        <w:jc w:val="left"/>
      </w:pPr>
      <w:r>
        <w:br w:type="page"/>
      </w:r>
    </w:p>
    <w:p w:rsidR="00A84BC5" w:rsidRDefault="00E0269D" w:rsidP="00A84BC5">
      <w:pPr>
        <w:spacing w:after="0" w:line="480" w:lineRule="auto"/>
        <w:jc w:val="center"/>
      </w:pPr>
      <w:r>
        <w:lastRenderedPageBreak/>
        <w:t>Referenc</w:t>
      </w:r>
      <w:r>
        <w:t>es</w:t>
      </w:r>
    </w:p>
    <w:p w:rsidR="00A84BC5" w:rsidRPr="00A84BC5" w:rsidRDefault="00E0269D" w:rsidP="00A84BC5">
      <w:pPr>
        <w:spacing w:after="0" w:line="480" w:lineRule="auto"/>
        <w:ind w:left="720" w:hanging="720"/>
        <w:rPr>
          <w:rFonts w:eastAsia="Times New Roman" w:cs="Times New Roman"/>
          <w:szCs w:val="24"/>
        </w:rPr>
      </w:pPr>
      <w:r w:rsidRPr="00A84BC5">
        <w:rPr>
          <w:rFonts w:eastAsia="Times New Roman" w:cs="Times New Roman"/>
          <w:szCs w:val="24"/>
        </w:rPr>
        <w:t xml:space="preserve">Cowan, D. M., Cheng, T. J., Ground, M., Sahmel, J., Varughese, A., &amp; Madl, A. K. (2015). Analysis of workplace compliance measurements of asbestos by the US Occupational Safety and Health Administration (1984–2011). </w:t>
      </w:r>
      <w:r w:rsidRPr="00A84BC5">
        <w:rPr>
          <w:rFonts w:eastAsia="Times New Roman" w:cs="Times New Roman"/>
          <w:i/>
          <w:iCs/>
          <w:szCs w:val="24"/>
        </w:rPr>
        <w:t>Regulatory Toxicology and Pharmacolog</w:t>
      </w:r>
      <w:r w:rsidRPr="00A84BC5">
        <w:rPr>
          <w:rFonts w:eastAsia="Times New Roman" w:cs="Times New Roman"/>
          <w:i/>
          <w:iCs/>
          <w:szCs w:val="24"/>
        </w:rPr>
        <w:t>y</w:t>
      </w:r>
      <w:r w:rsidRPr="00A84BC5">
        <w:rPr>
          <w:rFonts w:eastAsia="Times New Roman" w:cs="Times New Roman"/>
          <w:szCs w:val="24"/>
        </w:rPr>
        <w:t xml:space="preserve">, </w:t>
      </w:r>
      <w:r w:rsidRPr="00A84BC5">
        <w:rPr>
          <w:rFonts w:eastAsia="Times New Roman" w:cs="Times New Roman"/>
          <w:i/>
          <w:iCs/>
          <w:szCs w:val="24"/>
        </w:rPr>
        <w:t>72</w:t>
      </w:r>
      <w:r w:rsidRPr="00A84BC5">
        <w:rPr>
          <w:rFonts w:eastAsia="Times New Roman" w:cs="Times New Roman"/>
          <w:szCs w:val="24"/>
        </w:rPr>
        <w:t>(3), 615-629.</w:t>
      </w:r>
    </w:p>
    <w:p w:rsidR="00A84BC5" w:rsidRPr="00A84BC5" w:rsidRDefault="00E0269D" w:rsidP="00A84BC5">
      <w:pPr>
        <w:spacing w:after="0" w:line="480" w:lineRule="auto"/>
        <w:ind w:left="720" w:hanging="720"/>
        <w:rPr>
          <w:rFonts w:eastAsia="Times New Roman" w:cs="Times New Roman"/>
          <w:szCs w:val="24"/>
        </w:rPr>
      </w:pPr>
      <w:r w:rsidRPr="00A84BC5">
        <w:rPr>
          <w:rFonts w:eastAsia="Times New Roman" w:cs="Times New Roman"/>
          <w:szCs w:val="24"/>
        </w:rPr>
        <w:t xml:space="preserve">Lewis, R. K. (2016). Radon in the Workplace: the Occupational Safety and Health Administration (OSHA) Ionizing Radiation Standard. </w:t>
      </w:r>
      <w:r w:rsidRPr="00A84BC5">
        <w:rPr>
          <w:rFonts w:eastAsia="Times New Roman" w:cs="Times New Roman"/>
          <w:i/>
          <w:iCs/>
          <w:szCs w:val="24"/>
        </w:rPr>
        <w:t>Health physics</w:t>
      </w:r>
      <w:r w:rsidRPr="00A84BC5">
        <w:rPr>
          <w:rFonts w:eastAsia="Times New Roman" w:cs="Times New Roman"/>
          <w:szCs w:val="24"/>
        </w:rPr>
        <w:t xml:space="preserve">, </w:t>
      </w:r>
      <w:r w:rsidRPr="00A84BC5">
        <w:rPr>
          <w:rFonts w:eastAsia="Times New Roman" w:cs="Times New Roman"/>
          <w:i/>
          <w:iCs/>
          <w:szCs w:val="24"/>
        </w:rPr>
        <w:t>111</w:t>
      </w:r>
      <w:r w:rsidRPr="00A84BC5">
        <w:rPr>
          <w:rFonts w:eastAsia="Times New Roman" w:cs="Times New Roman"/>
          <w:szCs w:val="24"/>
        </w:rPr>
        <w:t>(4), 374-380.</w:t>
      </w:r>
    </w:p>
    <w:p w:rsidR="00A84BC5" w:rsidRDefault="00A84BC5" w:rsidP="00A84BC5">
      <w:pPr>
        <w:spacing w:after="0" w:line="480" w:lineRule="auto"/>
        <w:ind w:left="720" w:hanging="720"/>
      </w:pPr>
    </w:p>
    <w:sectPr w:rsidR="00A84BC5" w:rsidSect="00A84BC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69D" w:rsidRDefault="00E0269D">
      <w:pPr>
        <w:spacing w:after="0" w:line="240" w:lineRule="auto"/>
      </w:pPr>
      <w:r>
        <w:separator/>
      </w:r>
    </w:p>
  </w:endnote>
  <w:endnote w:type="continuationSeparator" w:id="0">
    <w:p w:rsidR="00E0269D" w:rsidRDefault="00E02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69D" w:rsidRDefault="00E0269D">
      <w:pPr>
        <w:spacing w:after="0" w:line="240" w:lineRule="auto"/>
      </w:pPr>
      <w:r>
        <w:separator/>
      </w:r>
    </w:p>
  </w:footnote>
  <w:footnote w:type="continuationSeparator" w:id="0">
    <w:p w:rsidR="00E0269D" w:rsidRDefault="00E026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3128751"/>
      <w:docPartObj>
        <w:docPartGallery w:val="Page Numbers (Top of Page)"/>
        <w:docPartUnique/>
      </w:docPartObj>
    </w:sdtPr>
    <w:sdtEndPr>
      <w:rPr>
        <w:noProof/>
      </w:rPr>
    </w:sdtEndPr>
    <w:sdtContent>
      <w:p w:rsidR="00A84BC5" w:rsidRDefault="00E0269D">
        <w:pPr>
          <w:pStyle w:val="Header"/>
          <w:jc w:val="right"/>
        </w:pPr>
        <w:r>
          <w:fldChar w:fldCharType="begin"/>
        </w:r>
        <w:r>
          <w:instrText xml:space="preserve"> PAGE   \* MERGEFORMAT </w:instrText>
        </w:r>
        <w:r>
          <w:fldChar w:fldCharType="separate"/>
        </w:r>
        <w:r w:rsidR="00E441B6">
          <w:rPr>
            <w:noProof/>
          </w:rPr>
          <w:t>3</w:t>
        </w:r>
        <w:r>
          <w:rPr>
            <w:noProof/>
          </w:rPr>
          <w:fldChar w:fldCharType="end"/>
        </w:r>
      </w:p>
    </w:sdtContent>
  </w:sdt>
  <w:p w:rsidR="00A84BC5" w:rsidRDefault="00E0269D">
    <w:pPr>
      <w:pStyle w:val="Header"/>
    </w:pPr>
    <w:r w:rsidRPr="00A84BC5">
      <w:t>FATALITY ONE MONTH PRIOR TO THE OSHA INSPECTION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BC5" w:rsidRDefault="00E0269D">
    <w:pPr>
      <w:pStyle w:val="Header"/>
    </w:pPr>
    <w:r>
      <w:t xml:space="preserve">Running head: </w:t>
    </w:r>
    <w:r w:rsidRPr="00A84BC5">
      <w:t>FATALITY ONE MONTH PRIOR TO THE OSHA INSPECTION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11B"/>
    <w:rsid w:val="00197E5E"/>
    <w:rsid w:val="002A6874"/>
    <w:rsid w:val="00311952"/>
    <w:rsid w:val="005A7CD8"/>
    <w:rsid w:val="0081519B"/>
    <w:rsid w:val="0083311B"/>
    <w:rsid w:val="00922D97"/>
    <w:rsid w:val="00A84BC5"/>
    <w:rsid w:val="00A859E2"/>
    <w:rsid w:val="00B63362"/>
    <w:rsid w:val="00D00AAA"/>
    <w:rsid w:val="00DE61CC"/>
    <w:rsid w:val="00E0269D"/>
    <w:rsid w:val="00E441B6"/>
    <w:rsid w:val="00F40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0E185A-2F19-4196-BD2B-15773A810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BC5"/>
    <w:rPr>
      <w:rFonts w:ascii="Times New Roman" w:hAnsi="Times New Roman"/>
      <w:sz w:val="24"/>
    </w:rPr>
  </w:style>
  <w:style w:type="paragraph" w:styleId="Footer">
    <w:name w:val="footer"/>
    <w:basedOn w:val="Normal"/>
    <w:link w:val="FooterChar"/>
    <w:uiPriority w:val="99"/>
    <w:unhideWhenUsed/>
    <w:rsid w:val="00A84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BC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2019-01-24T15:05:00Z</dcterms:created>
  <dcterms:modified xsi:type="dcterms:W3CDTF">2019-01-24T15:05:00Z</dcterms:modified>
</cp:coreProperties>
</file>